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江苏天主教举办第三届渔山论坛</w:t>
      </w:r>
    </w:p>
    <w:p>
      <w:pPr>
        <w:jc w:val="center"/>
        <w:rPr>
          <w:rFonts w:hint="default" w:ascii="方正小标宋_GBK" w:hAnsi="方正小标宋_GBK" w:eastAsia="方正小标宋_GBK" w:cs="方正小标宋_GBK"/>
          <w:sz w:val="44"/>
          <w:szCs w:val="44"/>
          <w:lang w:val="en-US" w:eastAsia="zh-CN"/>
        </w:rPr>
      </w:pPr>
      <w:r>
        <w:rPr>
          <w:rFonts w:hint="eastAsia" w:ascii="方正小标宋_GBK" w:hAnsi="方正小标宋_GBK" w:eastAsia="方正小标宋_GBK" w:cs="方正小标宋_GBK"/>
          <w:sz w:val="44"/>
          <w:szCs w:val="44"/>
          <w:lang w:val="en-US" w:eastAsia="zh-CN"/>
        </w:rPr>
        <w:t>——坚持天主教中国化方向研讨会</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bookmarkStart w:id="0" w:name="_GoBack"/>
      <w:r>
        <w:rPr>
          <w:rFonts w:hint="eastAsia"/>
          <w:lang w:val="en-US" w:eastAsia="zh-CN"/>
        </w:rPr>
        <w:t>金秋九月，丹桂飘香。9月27-29日，江苏省天主教“两会”与天主教苏州教区在苏州联合举办第三届渔山论坛——坚持天主教中国化方向研讨会。省委统战部、省民宗委、徐州市、苏州市民宗局有关领导，省“两会”主任秘书长联席会议成员、苏州教区神长教友代表50余人参加活动。</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ascii="Times New Roman" w:hAnsi="Times New Roman"/>
          <w:lang w:val="en-US" w:eastAsia="zh-CN"/>
        </w:rPr>
      </w:pPr>
      <w:r>
        <w:rPr>
          <w:rFonts w:hint="eastAsia"/>
          <w:lang w:val="en-US" w:eastAsia="zh-CN"/>
        </w:rPr>
        <w:t>会议</w:t>
      </w:r>
      <w:r>
        <w:rPr>
          <w:rFonts w:hint="eastAsia" w:ascii="Times New Roman" w:hAnsi="Times New Roman"/>
          <w:lang w:val="en-US" w:eastAsia="zh-CN"/>
        </w:rPr>
        <w:t>学习</w:t>
      </w:r>
      <w:r>
        <w:rPr>
          <w:rFonts w:hint="eastAsia"/>
          <w:lang w:val="en-US" w:eastAsia="zh-CN"/>
        </w:rPr>
        <w:t>传达</w:t>
      </w:r>
      <w:r>
        <w:rPr>
          <w:rFonts w:hint="eastAsia" w:ascii="Times New Roman" w:hAnsi="Times New Roman"/>
          <w:lang w:val="en-US" w:eastAsia="zh-CN"/>
        </w:rPr>
        <w:t>了中央统战工作会议</w:t>
      </w:r>
      <w:r>
        <w:rPr>
          <w:rFonts w:hint="eastAsia"/>
          <w:lang w:val="en-US" w:eastAsia="zh-CN"/>
        </w:rPr>
        <w:t>精神，与会人员学习了</w:t>
      </w:r>
      <w:r>
        <w:rPr>
          <w:rFonts w:hint="default" w:ascii="Times New Roman" w:hAnsi="Times New Roman"/>
          <w:lang w:val="en-US" w:eastAsia="zh-CN"/>
        </w:rPr>
        <w:t>中国天主教第十次</w:t>
      </w:r>
      <w:r>
        <w:rPr>
          <w:rFonts w:hint="eastAsia" w:ascii="Times New Roman" w:hAnsi="Times New Roman"/>
          <w:lang w:val="en-US" w:eastAsia="zh-CN"/>
        </w:rPr>
        <w:t>全国</w:t>
      </w:r>
      <w:r>
        <w:rPr>
          <w:rFonts w:hint="default" w:ascii="Times New Roman" w:hAnsi="Times New Roman"/>
          <w:lang w:val="en-US" w:eastAsia="zh-CN"/>
        </w:rPr>
        <w:t>代表会议</w:t>
      </w:r>
      <w:r>
        <w:rPr>
          <w:rFonts w:hint="eastAsia" w:ascii="Times New Roman" w:hAnsi="Times New Roman"/>
          <w:lang w:val="en-US" w:eastAsia="zh-CN"/>
        </w:rPr>
        <w:t>、崔茂虎副部长在</w:t>
      </w:r>
      <w:r>
        <w:rPr>
          <w:rFonts w:hint="default" w:ascii="Times New Roman" w:hAnsi="Times New Roman"/>
          <w:lang w:val="en-US" w:eastAsia="zh-CN"/>
        </w:rPr>
        <w:t>会议</w:t>
      </w:r>
      <w:r>
        <w:rPr>
          <w:rFonts w:hint="eastAsia" w:ascii="Times New Roman" w:hAnsi="Times New Roman"/>
          <w:lang w:val="en-US" w:eastAsia="zh-CN"/>
        </w:rPr>
        <w:t>上的讲话精神</w:t>
      </w:r>
      <w:r>
        <w:rPr>
          <w:rFonts w:hint="eastAsia"/>
          <w:lang w:val="en-US" w:eastAsia="zh-CN"/>
        </w:rPr>
        <w:t>。</w:t>
      </w:r>
      <w:r>
        <w:rPr>
          <w:rFonts w:hint="eastAsia" w:ascii="Times New Roman" w:hAnsi="Times New Roman"/>
          <w:lang w:val="en-US" w:eastAsia="zh-CN"/>
        </w:rPr>
        <w:t>苏州市民宗局张建国副局长作贯彻落实全省宗教工作会议精神专题讲座</w:t>
      </w:r>
      <w:r>
        <w:rPr>
          <w:rFonts w:hint="eastAsia"/>
          <w:lang w:val="en-US" w:eastAsia="zh-CN"/>
        </w:rPr>
        <w:t>，徐州市、</w:t>
      </w:r>
      <w:r>
        <w:rPr>
          <w:rFonts w:hint="eastAsia" w:ascii="Times New Roman" w:hAnsi="Times New Roman"/>
          <w:lang w:val="en-US" w:eastAsia="zh-CN"/>
        </w:rPr>
        <w:t>苏州</w:t>
      </w:r>
      <w:r>
        <w:rPr>
          <w:rFonts w:hint="eastAsia"/>
          <w:lang w:val="en-US" w:eastAsia="zh-CN"/>
        </w:rPr>
        <w:t>市</w:t>
      </w:r>
      <w:r>
        <w:rPr>
          <w:rFonts w:hint="default"/>
          <w:lang w:val="en-US" w:eastAsia="zh-CN"/>
        </w:rPr>
        <w:t>代表</w:t>
      </w:r>
      <w:r>
        <w:rPr>
          <w:rFonts w:hint="eastAsia"/>
          <w:lang w:val="en-US" w:eastAsia="zh-CN"/>
        </w:rPr>
        <w:t>介绍了当地</w:t>
      </w:r>
      <w:r>
        <w:rPr>
          <w:rFonts w:hint="eastAsia" w:ascii="Times New Roman" w:hAnsi="Times New Roman"/>
          <w:lang w:val="en-US" w:eastAsia="zh-CN"/>
        </w:rPr>
        <w:t>天主教坚持中国化方向实践情况。</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lang w:val="en-US" w:eastAsia="zh-CN"/>
        </w:rPr>
      </w:pPr>
      <w:r>
        <w:rPr>
          <w:rFonts w:hint="eastAsia"/>
          <w:lang w:val="en-US" w:eastAsia="zh-CN"/>
        </w:rPr>
        <w:t>本届渔山论坛，旨在为省内各地天主教的中国化实践提供启发，探索新路径，为广大神长教友培育和践行社会主义核心价值观，弘扬中华文化产生积极作用。会上，</w:t>
      </w:r>
      <w:r>
        <w:rPr>
          <w:rFonts w:hint="eastAsia" w:ascii="Times New Roman" w:hAnsi="Times New Roman"/>
          <w:lang w:val="en-US" w:eastAsia="zh-CN"/>
        </w:rPr>
        <w:t>南京、海门、徐州、苏州教区的7位代表就神学思想研究、规范场所管理、加强团体建设和有效服务社会4个主题开展了座谈交</w:t>
      </w:r>
      <w:r>
        <w:rPr>
          <w:rFonts w:hint="eastAsia"/>
          <w:lang w:val="en-US" w:eastAsia="zh-CN"/>
        </w:rPr>
        <w:t>流。</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lang w:val="en-US" w:eastAsia="zh-CN"/>
        </w:rPr>
      </w:pPr>
      <w:r>
        <w:rPr>
          <w:rFonts w:hint="eastAsia"/>
          <w:lang w:val="en-US" w:eastAsia="zh-CN"/>
        </w:rPr>
        <w:t>省民宗委宗教二处三级调研员陈军对全省天主教爱国爱教工作和本次活动的举办表示肯定，并提出希望：一是充分认识坚持中国化方向的重要性，以攻坚克难、做则必成的信心决心，着力推动天主教中国化进程；二是坚持以社会主义核心价值观为引领，以爱国爱教、荣主益人的本心初心，着力构建较为完整的神学思想体系；三是把握天主教发展规律，以因地制宜、点滴积累的耐心恒心，开展具有江苏特色的中国化实践探索；四是坚持系统集成、协同高效，以主动担当、不负使命的进取心责任心，持续拓展天主教中国化的广度与深度。</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r>
        <w:rPr>
          <w:rFonts w:hint="eastAsia"/>
          <w:lang w:val="en-US" w:eastAsia="zh-CN"/>
        </w:rPr>
        <w:t>徐宏根主教作总结发言，希望全省天主教要坚持正确政治方向，站稳政治立场，紧密团结在以习近平同志为核心的党中央周围，深刻领悟“两个确立”的决定性意义，增强“四个意识”、坚定“四个自信”、做到“两个维护”。深入推进我国天主教中国化，加强人才队伍建设，发展壮大爱国力量，全面推进从严治教，加强自我教育、自我管理、自我约束。</w:t>
      </w:r>
      <w:r>
        <w:rPr>
          <w:rFonts w:hint="eastAsia"/>
          <w:color w:val="auto"/>
          <w:lang w:val="en-US" w:eastAsia="zh-CN"/>
        </w:rPr>
        <w:t>高举爱国爱教旗帜，</w:t>
      </w:r>
      <w:r>
        <w:rPr>
          <w:rFonts w:hint="eastAsia"/>
          <w:lang w:val="en-US" w:eastAsia="zh-CN"/>
        </w:rPr>
        <w:t>最大限度凝聚起共同奋斗的力量，朝着实现中华民族伟大复兴的中国梦奋勇前进！</w:t>
      </w:r>
    </w:p>
    <w:bookmarkEnd w:id="0"/>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default"/>
          <w:lang w:val="en-US" w:eastAsia="zh-CN"/>
        </w:rPr>
      </w:pPr>
      <w:r>
        <w:rPr>
          <w:rFonts w:hint="eastAsia"/>
          <w:lang w:val="en-US" w:eastAsia="zh-CN"/>
        </w:rPr>
        <w:t>江苏省天主教两会</w:t>
      </w: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r>
        <w:rPr>
          <w:rFonts w:hint="eastAsia"/>
          <w:lang w:val="en-US" w:eastAsia="zh-CN"/>
        </w:rPr>
        <w:drawing>
          <wp:inline distT="0" distB="0" distL="114300" distR="114300">
            <wp:extent cx="5083175" cy="3034665"/>
            <wp:effectExtent l="0" t="0" r="3175" b="13335"/>
            <wp:docPr id="1" name="图片 1" descr="cc67187ac6c5ad86535cc4e1a634f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c67187ac6c5ad86535cc4e1a634f63"/>
                    <pic:cNvPicPr>
                      <a:picLocks noChangeAspect="1"/>
                    </pic:cNvPicPr>
                  </pic:nvPicPr>
                  <pic:blipFill>
                    <a:blip r:embed="rId5"/>
                    <a:stretch>
                      <a:fillRect/>
                    </a:stretch>
                  </pic:blipFill>
                  <pic:spPr>
                    <a:xfrm>
                      <a:off x="0" y="0"/>
                      <a:ext cx="5083175" cy="30346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r>
        <w:rPr>
          <w:rFonts w:hint="eastAsia"/>
          <w:lang w:val="en-US" w:eastAsia="zh-CN"/>
        </w:rPr>
        <w:drawing>
          <wp:inline distT="0" distB="0" distL="114300" distR="114300">
            <wp:extent cx="5224780" cy="3618865"/>
            <wp:effectExtent l="0" t="0" r="13970" b="635"/>
            <wp:docPr id="2" name="图片 2" descr="639ab6792e3644799dcf742c2d29a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9ab6792e3644799dcf742c2d29a89"/>
                    <pic:cNvPicPr>
                      <a:picLocks noChangeAspect="1"/>
                    </pic:cNvPicPr>
                  </pic:nvPicPr>
                  <pic:blipFill>
                    <a:blip r:embed="rId6"/>
                    <a:stretch>
                      <a:fillRect/>
                    </a:stretch>
                  </pic:blipFill>
                  <pic:spPr>
                    <a:xfrm>
                      <a:off x="0" y="0"/>
                      <a:ext cx="5224780" cy="361886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590" w:lineRule="exact"/>
        <w:ind w:firstLine="640" w:firstLineChars="200"/>
        <w:textAlignment w:val="auto"/>
        <w:rPr>
          <w:rFonts w:hint="eastAsia"/>
          <w:lang w:val="en-US" w:eastAsia="zh-CN"/>
        </w:rPr>
      </w:pPr>
    </w:p>
    <w:p>
      <w:pPr>
        <w:rPr>
          <w:rFonts w:hint="default" w:ascii="Times New Roman" w:hAnsi="Times New Roman"/>
          <w:lang w:val="en-US" w:eastAsia="zh-CN"/>
        </w:rPr>
      </w:pPr>
    </w:p>
    <w:sectPr>
      <w:footerReference r:id="rId3" w:type="default"/>
      <w:footnotePr>
        <w:numFmt w:val="decimal"/>
      </w:footnotePr>
      <w:pgSz w:w="11906" w:h="16838"/>
      <w:pgMar w:top="2098" w:right="1531" w:bottom="1701" w:left="1531" w:header="1134" w:footer="1417" w:gutter="0"/>
      <w:lnNumType w:countBy="0"/>
      <w:pgNumType w:fmt="decimal" w:start="1"/>
      <w:cols w:space="0" w:num="1"/>
      <w:rtlGutter w:val="0"/>
      <w:vAlign w:val="top"/>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仿宋_GB2312">
    <w:panose1 w:val="02000000000000000000"/>
    <w:charset w:val="86"/>
    <w:family w:val="auto"/>
    <w:pitch w:val="default"/>
    <w:sig w:usb0="A00002BF" w:usb1="184F6CFA" w:usb2="00000012" w:usb3="00000000" w:csb0="00040001"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0" distR="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097" name="文本框 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2"/>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wps:txbx>
                    <wps:bodyPr vert="horz" wrap="none" lIns="0" tIns="0" rIns="0" bIns="0" anchor="t" upright="0">
                      <a:spAutoFit/>
                    </wps:bodyPr>
                  </wps:wsp>
                </a:graphicData>
              </a:graphic>
            </wp:anchor>
          </w:drawing>
        </mc:Choice>
        <mc:Fallback>
          <w:pict>
            <v:rect id="文本框 3" o:spid="_x0000_s1026" o:spt="1"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uXW5UtAAAAAFAQAADwAAAAAAAAABACAAAAAiAAAAZHJz&#10;L2Rvd25yZXYueG1sUEsBAhQAFAAAAAgAh07iQFasDMHTAQAAngMAAA4AAAAAAAAAAQAgAAAAHwEA&#10;AGRycy9lMm9Eb2MueG1sUEsFBgAAAAAGAAYAWQEAAGQFAAAAAA==&#10;">
              <v:fill on="f" focussize="0,0"/>
              <v:stroke on="f"/>
              <v:imagedata o:title=""/>
              <o:lock v:ext="edit" aspectratio="f"/>
              <v:textbox inset="0mm,0mm,0mm,0mm" style="mso-fit-shape-to-text:t;">
                <w:txbxContent>
                  <w:p>
                    <w:pPr>
                      <w:pStyle w:val="2"/>
                      <w:rPr>
                        <w:sz w:val="30"/>
                        <w:szCs w:val="30"/>
                      </w:rPr>
                    </w:pPr>
                    <w:r>
                      <w:rPr>
                        <w:sz w:val="30"/>
                        <w:szCs w:val="30"/>
                      </w:rPr>
                      <w:t xml:space="preserve">— </w:t>
                    </w:r>
                    <w:r>
                      <w:rPr>
                        <w:sz w:val="30"/>
                        <w:szCs w:val="30"/>
                      </w:rPr>
                      <w:fldChar w:fldCharType="begin"/>
                    </w:r>
                    <w:r>
                      <w:rPr>
                        <w:sz w:val="30"/>
                        <w:szCs w:val="30"/>
                      </w:rPr>
                      <w:instrText xml:space="preserve"> PAGE  \* MERGEFORMAT </w:instrText>
                    </w:r>
                    <w:r>
                      <w:rPr>
                        <w:sz w:val="30"/>
                        <w:szCs w:val="30"/>
                      </w:rPr>
                      <w:fldChar w:fldCharType="separate"/>
                    </w:r>
                    <w:r>
                      <w:rPr>
                        <w:sz w:val="30"/>
                        <w:szCs w:val="30"/>
                      </w:rPr>
                      <w:t>1</w:t>
                    </w:r>
                    <w:r>
                      <w:rPr>
                        <w:sz w:val="30"/>
                        <w:szCs w:val="30"/>
                      </w:rPr>
                      <w:fldChar w:fldCharType="end"/>
                    </w:r>
                    <w:r>
                      <w:rPr>
                        <w:sz w:val="30"/>
                        <w:szCs w:val="30"/>
                      </w:rPr>
                      <w:t xml:space="preserve"> —</w:t>
                    </w:r>
                  </w:p>
                </w:txbxContent>
              </v:textbox>
            </v:rect>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xZWUwMmExYzFjNWZmYThlNDUwNWFjNTVhNDdkYzQifQ=="/>
  </w:docVars>
  <w:rsids>
    <w:rsidRoot w:val="00000000"/>
    <w:rsid w:val="4A2057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方正仿宋_GB2312" w:cs="宋体"/>
      <w:kern w:val="2"/>
      <w:sz w:val="32"/>
      <w:szCs w:val="32"/>
      <w:lang w:val="en-US" w:eastAsia="zh-CN" w:bidi="ar-SA"/>
    </w:rPr>
  </w:style>
  <w:style w:type="character" w:default="1" w:styleId="5">
    <w:name w:val="Default Paragraph Font"/>
    <w:uiPriority w:val="0"/>
  </w:style>
  <w:style w:type="table" w:default="1" w:styleId="4">
    <w:name w:val="Normal Table"/>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855</Words>
  <Characters>864</Characters>
  <Paragraphs>19</Paragraphs>
  <TotalTime>12</TotalTime>
  <ScaleCrop>false</ScaleCrop>
  <LinksUpToDate>false</LinksUpToDate>
  <CharactersWithSpaces>864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2022-09-29T05:35:00Z</dcterms:created>
  <dc:creator>Maxholic</dc:creator>
  <cp:lastModifiedBy>Maxholic</cp:lastModifiedBy>
  <cp:lastPrinted>2022-09-28T02:47:00Z</cp:lastPrinted>
  <dcterms:modified xsi:type="dcterms:W3CDTF">2022-09-29T06:29:17Z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73C16FCE39CF4229B9F51CAE36CA0D09</vt:lpwstr>
  </property>
</Properties>
</file>